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32F" w:rsidRPr="005B5548" w:rsidRDefault="0076532F" w:rsidP="0076532F">
      <w:pPr>
        <w:jc w:val="center"/>
        <w:rPr>
          <w:color w:val="000000" w:themeColor="text1"/>
          <w:sz w:val="28"/>
          <w:szCs w:val="28"/>
        </w:rPr>
      </w:pPr>
      <w:r w:rsidRPr="005B5548">
        <w:rPr>
          <w:color w:val="000000" w:themeColor="text1"/>
          <w:sz w:val="28"/>
          <w:szCs w:val="28"/>
        </w:rPr>
        <w:t xml:space="preserve">Пояснения </w:t>
      </w:r>
    </w:p>
    <w:p w:rsidR="0076532F" w:rsidRPr="005B5548" w:rsidRDefault="0076532F" w:rsidP="0076532F">
      <w:pPr>
        <w:jc w:val="center"/>
        <w:rPr>
          <w:color w:val="000000" w:themeColor="text1"/>
          <w:sz w:val="28"/>
          <w:szCs w:val="28"/>
        </w:rPr>
      </w:pPr>
      <w:r w:rsidRPr="005B5548">
        <w:rPr>
          <w:color w:val="000000" w:themeColor="text1"/>
          <w:sz w:val="28"/>
          <w:szCs w:val="28"/>
        </w:rPr>
        <w:t xml:space="preserve">по модельному положению об инициировании и реализации инициативных проектов и урегулированию отдельных вопросов проведения собраний граждан </w:t>
      </w:r>
    </w:p>
    <w:p w:rsidR="0076532F" w:rsidRPr="005B5548" w:rsidRDefault="0076532F" w:rsidP="0076532F">
      <w:pPr>
        <w:jc w:val="center"/>
        <w:rPr>
          <w:color w:val="000000" w:themeColor="text1"/>
          <w:sz w:val="28"/>
          <w:szCs w:val="28"/>
        </w:rPr>
      </w:pPr>
    </w:p>
    <w:p w:rsidR="0076532F" w:rsidRPr="005B5548" w:rsidRDefault="0076532F" w:rsidP="0076532F">
      <w:pPr>
        <w:spacing w:line="360" w:lineRule="auto"/>
        <w:ind w:firstLine="709"/>
        <w:jc w:val="both"/>
        <w:rPr>
          <w:color w:val="000000" w:themeColor="text1"/>
          <w:sz w:val="28"/>
          <w:szCs w:val="28"/>
          <w:shd w:val="clear" w:color="auto" w:fill="FFFFFF"/>
        </w:rPr>
      </w:pPr>
      <w:r w:rsidRPr="005B5548">
        <w:rPr>
          <w:color w:val="000000" w:themeColor="text1"/>
          <w:sz w:val="28"/>
          <w:szCs w:val="28"/>
        </w:rPr>
        <w:t xml:space="preserve">Положение об инициировании и реализации инициативных проектов (далее – Положение) подготовлено в соответствии с </w:t>
      </w:r>
      <w:r w:rsidRPr="005B5548">
        <w:rPr>
          <w:color w:val="000000" w:themeColor="text1"/>
          <w:sz w:val="28"/>
          <w:szCs w:val="28"/>
          <w:shd w:val="clear" w:color="auto" w:fill="FFFFFF"/>
        </w:rPr>
        <w:t>Федеральным законом от 20.07.2020 № 236-ФЗ «О внесении изменений в Федеральный закон «Об общих принципах организации местного самоуправления в Российской Федерации» (далее – Федеральный закон № 236-ФЗ) и подлежит утверждению решением представительн</w:t>
      </w:r>
      <w:r>
        <w:rPr>
          <w:color w:val="000000" w:themeColor="text1"/>
          <w:sz w:val="28"/>
          <w:szCs w:val="28"/>
          <w:shd w:val="clear" w:color="auto" w:fill="FFFFFF"/>
        </w:rPr>
        <w:t xml:space="preserve">ого </w:t>
      </w:r>
      <w:r w:rsidRPr="005B5548">
        <w:rPr>
          <w:color w:val="000000" w:themeColor="text1"/>
          <w:sz w:val="28"/>
          <w:szCs w:val="28"/>
          <w:shd w:val="clear" w:color="auto" w:fill="FFFFFF"/>
        </w:rPr>
        <w:t>орган</w:t>
      </w:r>
      <w:r>
        <w:rPr>
          <w:color w:val="000000" w:themeColor="text1"/>
          <w:sz w:val="28"/>
          <w:szCs w:val="28"/>
          <w:shd w:val="clear" w:color="auto" w:fill="FFFFFF"/>
        </w:rPr>
        <w:t>а</w:t>
      </w:r>
      <w:r w:rsidRPr="005B5548">
        <w:rPr>
          <w:color w:val="000000" w:themeColor="text1"/>
          <w:sz w:val="28"/>
          <w:szCs w:val="28"/>
          <w:shd w:val="clear" w:color="auto" w:fill="FFFFFF"/>
        </w:rPr>
        <w:t xml:space="preserve"> муниципального образования и введению в действие не ранее 1 января 2021 года. До утверждения Положения целесообразно внесение изменений в устав муниципального образования в целях закрепления такой формы участия населения в осуществлении местного самоуправления, как инициативные проекты. Наряду с таким изменением устава муниципального образования также целесообразна корректировка положения устава в той части, которая определяет требование к правомочности собрания граждан. В ряде уставов муниципальных образований предусмотрено, что собрание граждан считается правомочным, если в нем приняло участие, например, более трети из числа граждан, имеющих право на участие в собрании. Зачастую данное требование к кворуму собрания граждан не соблюдается при проведений собраний в целях обсуждения общественных проектов для последующего внесения заявок на конкурсный отбор общественных проектов, проводимый в соответствии с постановлением Правительства Самарской области от 17.05.2017 № 323</w:t>
      </w:r>
      <w:r w:rsidRPr="005B5548">
        <w:rPr>
          <w:color w:val="000000" w:themeColor="text1"/>
          <w:sz w:val="28"/>
          <w:szCs w:val="28"/>
        </w:rPr>
        <w:t xml:space="preserve"> </w:t>
      </w:r>
      <w:r w:rsidRPr="005B5548">
        <w:rPr>
          <w:color w:val="000000" w:themeColor="text1"/>
          <w:sz w:val="28"/>
          <w:szCs w:val="28"/>
          <w:shd w:val="clear" w:color="auto" w:fill="FFFFFF"/>
        </w:rPr>
        <w:t xml:space="preserve">«Об утверждении государственной программы Самарской области «Поддержка инициатив населения муниципальных образований в Самарской области» на 2017-2025 годы». В связи с этим обращаем внимание органов местного самоуправления на то, что в соответствии со статьей 29 Федерального закона от 06.10.2003 № 131-ФЗ «Об общих принципах организации местного самоуправления в Российской Федерации» (далее – Федеральный закон № 131-ФЗ) требование к кворуму собрания граждан не обязательно прописывать </w:t>
      </w:r>
      <w:r w:rsidRPr="005B5548">
        <w:rPr>
          <w:color w:val="000000" w:themeColor="text1"/>
          <w:sz w:val="28"/>
          <w:szCs w:val="28"/>
          <w:shd w:val="clear" w:color="auto" w:fill="FFFFFF"/>
        </w:rPr>
        <w:lastRenderedPageBreak/>
        <w:t xml:space="preserve">в уставе муниципального образования. Оно может быть определено в решении представительного органа муниципального образования, которым регулируется порядок проведения собраний граждан. Также обращаем внимание на то, что требование к кворуму целесообразно привести в соответствие с существующей практикой участия населения в собраниях граждан. Например, в случае, если в такого рода собраниях обычно участвует не более 10 – 15 % от общего числа жителей соответствующей </w:t>
      </w:r>
      <w:r>
        <w:rPr>
          <w:color w:val="000000" w:themeColor="text1"/>
          <w:sz w:val="28"/>
          <w:szCs w:val="28"/>
          <w:shd w:val="clear" w:color="auto" w:fill="FFFFFF"/>
        </w:rPr>
        <w:t xml:space="preserve">части </w:t>
      </w:r>
      <w:r w:rsidRPr="005B5548">
        <w:rPr>
          <w:color w:val="000000" w:themeColor="text1"/>
          <w:sz w:val="28"/>
          <w:szCs w:val="28"/>
          <w:shd w:val="clear" w:color="auto" w:fill="FFFFFF"/>
        </w:rPr>
        <w:t>территории</w:t>
      </w:r>
      <w:r>
        <w:rPr>
          <w:color w:val="000000" w:themeColor="text1"/>
          <w:sz w:val="28"/>
          <w:szCs w:val="28"/>
          <w:shd w:val="clear" w:color="auto" w:fill="FFFFFF"/>
        </w:rPr>
        <w:t xml:space="preserve"> муниципального образования</w:t>
      </w:r>
      <w:r w:rsidRPr="005B5548">
        <w:rPr>
          <w:color w:val="000000" w:themeColor="text1"/>
          <w:sz w:val="28"/>
          <w:szCs w:val="28"/>
          <w:shd w:val="clear" w:color="auto" w:fill="FFFFFF"/>
        </w:rPr>
        <w:t xml:space="preserve">, имеющих право на участие в собрании, в решении представительного органа муниципального образования об определении порядка проведения собраний граждан целесообразно установить требование к кворуму на уровне 10 % от общего числа жителей соответствующей </w:t>
      </w:r>
      <w:r>
        <w:rPr>
          <w:color w:val="000000" w:themeColor="text1"/>
          <w:sz w:val="28"/>
          <w:szCs w:val="28"/>
          <w:shd w:val="clear" w:color="auto" w:fill="FFFFFF"/>
        </w:rPr>
        <w:t xml:space="preserve">части </w:t>
      </w:r>
      <w:r w:rsidRPr="005B5548">
        <w:rPr>
          <w:color w:val="000000" w:themeColor="text1"/>
          <w:sz w:val="28"/>
          <w:szCs w:val="28"/>
          <w:shd w:val="clear" w:color="auto" w:fill="FFFFFF"/>
        </w:rPr>
        <w:t>территории</w:t>
      </w:r>
      <w:r>
        <w:rPr>
          <w:color w:val="000000" w:themeColor="text1"/>
          <w:sz w:val="28"/>
          <w:szCs w:val="28"/>
          <w:shd w:val="clear" w:color="auto" w:fill="FFFFFF"/>
        </w:rPr>
        <w:t xml:space="preserve"> муниципального образования</w:t>
      </w:r>
      <w:r w:rsidRPr="005B5548">
        <w:rPr>
          <w:color w:val="000000" w:themeColor="text1"/>
          <w:sz w:val="28"/>
          <w:szCs w:val="28"/>
          <w:shd w:val="clear" w:color="auto" w:fill="FFFFFF"/>
        </w:rPr>
        <w:t xml:space="preserve">, имеющих право на участие в собрании. </w:t>
      </w:r>
    </w:p>
    <w:p w:rsidR="0076532F" w:rsidRDefault="0076532F" w:rsidP="0076532F">
      <w:pPr>
        <w:spacing w:line="360" w:lineRule="auto"/>
        <w:ind w:firstLine="709"/>
        <w:jc w:val="both"/>
        <w:rPr>
          <w:color w:val="000000" w:themeColor="text1"/>
          <w:sz w:val="28"/>
          <w:szCs w:val="28"/>
        </w:rPr>
      </w:pPr>
      <w:r w:rsidRPr="005B5548">
        <w:rPr>
          <w:color w:val="000000" w:themeColor="text1"/>
          <w:sz w:val="28"/>
          <w:szCs w:val="28"/>
          <w:shd w:val="clear" w:color="auto" w:fill="FFFFFF"/>
        </w:rPr>
        <w:t xml:space="preserve">Пунктом 2.3 Положения предусмотрено, что </w:t>
      </w:r>
      <w:r w:rsidRPr="005B5548">
        <w:rPr>
          <w:color w:val="000000" w:themeColor="text1"/>
          <w:sz w:val="28"/>
          <w:szCs w:val="28"/>
        </w:rPr>
        <w:t>собрание граждан для целей обсуждения инициативных проектов считается правомочным, если в нем приняло участие более 10 процентов из числа граждан, достигших шестнадцатилетнего возраста и проживающих на соответствующей части территории муниципального образования. Участие в подобных собраниях граждан, достигших шестнадцатилетнего возраста, предусмотрено частью 2 статьи 26.1 Федерального закона № 131-ФЗ в редакции Федерального закона № 236-ФЗ (далее – статья 26.1). Уставами же муниципальных образований зачастую предусмотрено участие в собраниях граждан, достигших восемнадцатилетнего возраста. Законодательством допускается различное требование к возрасту участников собраний граждан. Вследствие этого представляется допустимым урегулирование в уставах муниципальных образований участия в собраниях граждан, достигших шестнадцатилетнего возраста, по вопросам обсуждения инициативных проектов и граждан, достигших восемнадцатилетнего возраста, по иным вопросам проведения собраний граждан.</w:t>
      </w:r>
    </w:p>
    <w:p w:rsidR="0076532F" w:rsidRPr="00254401" w:rsidRDefault="0076532F" w:rsidP="0076532F">
      <w:pPr>
        <w:spacing w:line="360" w:lineRule="auto"/>
        <w:ind w:firstLine="709"/>
        <w:jc w:val="both"/>
        <w:rPr>
          <w:color w:val="000000" w:themeColor="text1"/>
          <w:sz w:val="28"/>
          <w:szCs w:val="28"/>
        </w:rPr>
      </w:pPr>
      <w:r>
        <w:rPr>
          <w:color w:val="000000" w:themeColor="text1"/>
          <w:sz w:val="28"/>
          <w:szCs w:val="28"/>
        </w:rPr>
        <w:lastRenderedPageBreak/>
        <w:t xml:space="preserve">Кроме того, обращаем внимание на необходимость проведения собраний граждан, в том числе по обсуждению инициативных проектов, в соответствии с решениями представительных органов соответствующих муниципальных образований согласно части 2 статьи 29 Федерального закона № 131-ФЗ. Это, в частности, означает необходимость обращения, например, инициативной группы, выдвигающей инициативный проект, в представительный орган муниципального образования с просьбой о назначении собрания граждан. Соответственно, представительный орган должен принять решение по данному вопросу. Данные аспекты при необходимости следует урегулировать на муниципальном уровне. </w:t>
      </w:r>
    </w:p>
    <w:p w:rsidR="0076532F" w:rsidRPr="005B5548" w:rsidRDefault="0076532F" w:rsidP="0076532F">
      <w:pPr>
        <w:spacing w:line="360" w:lineRule="auto"/>
        <w:ind w:firstLine="709"/>
        <w:jc w:val="both"/>
        <w:rPr>
          <w:color w:val="000000" w:themeColor="text1"/>
          <w:sz w:val="28"/>
          <w:szCs w:val="28"/>
        </w:rPr>
      </w:pPr>
      <w:r w:rsidRPr="005B5548">
        <w:rPr>
          <w:color w:val="000000" w:themeColor="text1"/>
          <w:sz w:val="28"/>
          <w:szCs w:val="28"/>
        </w:rPr>
        <w:t>Пунктом 2.2 Положения предусмотрены требования к сведениям, которые должны быть отражены в инициативном проекте с учетом части 3 статьи 26.1. Вместе с тем в соответствии с пунктом 9 части 3 статьи 26.1 в инициативном проекте также необходимо указать:</w:t>
      </w:r>
    </w:p>
    <w:p w:rsidR="0076532F" w:rsidRPr="005B5548" w:rsidRDefault="0076532F" w:rsidP="0076532F">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действия, необходимые для реализации инициативного проекта, объект (объекты), который (которые) предлагается создать (реконструировать, отремонтировать) в случае создания (реконструкции, ремонта) объекта (объектов) в рамках инициативного проекта</w:t>
      </w:r>
      <w:r>
        <w:rPr>
          <w:color w:val="000000" w:themeColor="text1"/>
          <w:sz w:val="28"/>
          <w:szCs w:val="28"/>
        </w:rPr>
        <w:t>. При этом обращаем внимание на необходимость подготовки проектной документации и соблюдения других процедур в сфере градостроительства в отношении объектов капитального строительства, которые в соответствии с градостроительным законодательством требуют подготовки подобной документации и соблюдения соответствующих процедур</w:t>
      </w:r>
      <w:r w:rsidRPr="005B5548">
        <w:rPr>
          <w:color w:val="000000" w:themeColor="text1"/>
          <w:sz w:val="28"/>
          <w:szCs w:val="28"/>
        </w:rPr>
        <w:t>;</w:t>
      </w:r>
    </w:p>
    <w:p w:rsidR="0076532F" w:rsidRPr="005B5548" w:rsidRDefault="0076532F" w:rsidP="0076532F">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сведения о возможных источниках перечисления инициативных платежей в бюджет муниципального образования (в случае планирования внесения инициативных платежей);</w:t>
      </w:r>
    </w:p>
    <w:p w:rsidR="0076532F" w:rsidRPr="005B5548" w:rsidRDefault="0076532F" w:rsidP="0076532F">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конкретные виды имущества, которые предполагается использовать при реализации инициативного проекта и источники получения и (или) использования такого имущества (в случае планирования имущественного участия заинтересованных лиц в реализации инициативного проекта);</w:t>
      </w:r>
    </w:p>
    <w:p w:rsidR="0076532F" w:rsidRPr="005B5548" w:rsidRDefault="0076532F" w:rsidP="0076532F">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lastRenderedPageBreak/>
        <w:t>- конкретные виды работ, которые предполагается выполнить при реализации инициативного проекта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76532F" w:rsidRPr="005B5548" w:rsidRDefault="0076532F" w:rsidP="0076532F">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 </w:t>
      </w:r>
      <w:r w:rsidRPr="005B5548">
        <w:rPr>
          <w:bCs/>
          <w:color w:val="000000" w:themeColor="text1"/>
          <w:sz w:val="28"/>
          <w:szCs w:val="28"/>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rsidR="0076532F" w:rsidRDefault="0076532F" w:rsidP="0076532F">
      <w:pPr>
        <w:pStyle w:val="s1"/>
        <w:shd w:val="clear" w:color="auto" w:fill="FFFFFF"/>
        <w:spacing w:before="0" w:beforeAutospacing="0" w:after="0" w:afterAutospacing="0" w:line="360" w:lineRule="auto"/>
        <w:ind w:firstLine="709"/>
        <w:jc w:val="both"/>
        <w:rPr>
          <w:color w:val="000000" w:themeColor="text1"/>
          <w:sz w:val="28"/>
          <w:szCs w:val="28"/>
        </w:rPr>
      </w:pPr>
      <w:r>
        <w:rPr>
          <w:bCs/>
          <w:color w:val="000000" w:themeColor="text1"/>
          <w:sz w:val="28"/>
          <w:szCs w:val="28"/>
        </w:rPr>
        <w:t xml:space="preserve">- </w:t>
      </w:r>
      <w:r w:rsidRPr="005B5548">
        <w:rPr>
          <w:bCs/>
          <w:color w:val="000000" w:themeColor="text1"/>
          <w:sz w:val="28"/>
          <w:szCs w:val="28"/>
        </w:rPr>
        <w:t>количество</w:t>
      </w:r>
      <w:r>
        <w:rPr>
          <w:bCs/>
          <w:color w:val="000000" w:themeColor="text1"/>
          <w:sz w:val="28"/>
          <w:szCs w:val="28"/>
        </w:rPr>
        <w:t xml:space="preserve"> </w:t>
      </w:r>
      <w:r w:rsidRPr="005B5548">
        <w:rPr>
          <w:color w:val="000000" w:themeColor="text1"/>
          <w:sz w:val="28"/>
          <w:szCs w:val="28"/>
        </w:rPr>
        <w:t>потенциальных благополучателей (определяется по количеству соответствующих квартир многоквартирных домов и домовладений), поддержавших реализацию инициативного проекта</w:t>
      </w:r>
      <w:r w:rsidRPr="00727F60">
        <w:rPr>
          <w:bCs/>
          <w:color w:val="000000" w:themeColor="text1"/>
          <w:sz w:val="28"/>
          <w:szCs w:val="28"/>
        </w:rPr>
        <w:t xml:space="preserve"> </w:t>
      </w:r>
      <w:r w:rsidRPr="005B5548">
        <w:rPr>
          <w:bCs/>
          <w:color w:val="000000" w:themeColor="text1"/>
          <w:sz w:val="28"/>
          <w:szCs w:val="28"/>
        </w:rPr>
        <w:t>в случае</w:t>
      </w:r>
      <w:r>
        <w:rPr>
          <w:bCs/>
          <w:color w:val="000000" w:themeColor="text1"/>
          <w:sz w:val="28"/>
          <w:szCs w:val="28"/>
        </w:rPr>
        <w:t>,</w:t>
      </w:r>
      <w:r w:rsidRPr="005B5548">
        <w:rPr>
          <w:bCs/>
          <w:color w:val="000000" w:themeColor="text1"/>
          <w:sz w:val="28"/>
          <w:szCs w:val="28"/>
        </w:rPr>
        <w:t xml:space="preserve"> если реализация инициативного проекта предполагается на дворовой территории</w:t>
      </w:r>
      <w:r>
        <w:rPr>
          <w:bCs/>
          <w:color w:val="000000" w:themeColor="text1"/>
          <w:sz w:val="28"/>
          <w:szCs w:val="28"/>
        </w:rPr>
        <w:t>;</w:t>
      </w:r>
    </w:p>
    <w:p w:rsidR="0076532F" w:rsidRPr="005B5548" w:rsidRDefault="0076532F" w:rsidP="0076532F">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 предложения по </w:t>
      </w:r>
      <w:r w:rsidRPr="005B5548">
        <w:rPr>
          <w:bCs/>
          <w:color w:val="000000" w:themeColor="text1"/>
          <w:sz w:val="28"/>
          <w:szCs w:val="28"/>
        </w:rPr>
        <w:t xml:space="preserve">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 </w:t>
      </w:r>
    </w:p>
    <w:p w:rsidR="0076532F" w:rsidRPr="005B5548" w:rsidRDefault="0076532F" w:rsidP="0076532F">
      <w:pPr>
        <w:spacing w:line="360" w:lineRule="auto"/>
        <w:ind w:firstLine="709"/>
        <w:jc w:val="both"/>
        <w:rPr>
          <w:color w:val="000000" w:themeColor="text1"/>
          <w:sz w:val="28"/>
          <w:szCs w:val="28"/>
        </w:rPr>
      </w:pPr>
      <w:r w:rsidRPr="005B5548">
        <w:rPr>
          <w:bCs/>
          <w:color w:val="000000" w:themeColor="text1"/>
          <w:sz w:val="28"/>
          <w:szCs w:val="28"/>
        </w:rPr>
        <w:t>Кроме того, пункт 2.2 Положения предусматривает требования к подписанию инициативного проекта</w:t>
      </w:r>
      <w:r w:rsidRPr="005B5548">
        <w:rPr>
          <w:color w:val="000000" w:themeColor="text1"/>
          <w:sz w:val="28"/>
          <w:szCs w:val="28"/>
        </w:rPr>
        <w:t>.</w:t>
      </w:r>
    </w:p>
    <w:p w:rsidR="0076532F" w:rsidRPr="005B5548" w:rsidRDefault="0076532F" w:rsidP="0076532F">
      <w:pPr>
        <w:spacing w:line="360" w:lineRule="auto"/>
        <w:ind w:firstLine="709"/>
        <w:jc w:val="both"/>
        <w:rPr>
          <w:color w:val="000000" w:themeColor="text1"/>
          <w:sz w:val="28"/>
          <w:szCs w:val="28"/>
        </w:rPr>
      </w:pPr>
      <w:r w:rsidRPr="005B5548">
        <w:rPr>
          <w:color w:val="000000" w:themeColor="text1"/>
          <w:sz w:val="28"/>
          <w:szCs w:val="28"/>
        </w:rPr>
        <w:t xml:space="preserve">Положением в дополнение к нормам Федерального закона № 236-ФЗ предусмотрен срок уведомления инициаторов проекта о принятом администрацией муниципального образования решении при рассмотрении инициативного проекта. Также в соответствии с Положением администрация муниципального образования обязана уведомлять инициаторов проекта о принимаемых в соответствии с бюджетным законодательством Российской Федерации решениях органов местного самоуправления, связанных с реализацией инициативного проекта, в случае поддержки инициативного проекта. </w:t>
      </w:r>
    </w:p>
    <w:p w:rsidR="0076532F" w:rsidRPr="005B5548" w:rsidRDefault="0076532F" w:rsidP="0076532F">
      <w:pPr>
        <w:spacing w:line="360" w:lineRule="auto"/>
        <w:ind w:firstLine="709"/>
        <w:jc w:val="both"/>
        <w:rPr>
          <w:color w:val="000000" w:themeColor="text1"/>
          <w:sz w:val="28"/>
          <w:szCs w:val="28"/>
        </w:rPr>
      </w:pPr>
      <w:r w:rsidRPr="005B5548">
        <w:rPr>
          <w:color w:val="000000" w:themeColor="text1"/>
          <w:sz w:val="28"/>
          <w:szCs w:val="28"/>
        </w:rPr>
        <w:t xml:space="preserve">Разделом 3 Положения предусмотрен порядок осуществления деятельности комиссии по проведению конкурсного отбора инициативных </w:t>
      </w:r>
      <w:r w:rsidRPr="005B5548">
        <w:rPr>
          <w:color w:val="000000" w:themeColor="text1"/>
          <w:sz w:val="28"/>
          <w:szCs w:val="28"/>
        </w:rPr>
        <w:lastRenderedPageBreak/>
        <w:t xml:space="preserve">проектов по аналогии с регулированием </w:t>
      </w:r>
      <w:r w:rsidRPr="005B5548">
        <w:rPr>
          <w:color w:val="000000" w:themeColor="text1"/>
          <w:sz w:val="28"/>
          <w:szCs w:val="28"/>
          <w:shd w:val="clear" w:color="auto" w:fill="FFFFFF"/>
        </w:rPr>
        <w:t>постановлением Правительства Самарской области от 04.08.2017 № 514</w:t>
      </w:r>
      <w:r w:rsidRPr="005B5548">
        <w:rPr>
          <w:color w:val="000000" w:themeColor="text1"/>
          <w:sz w:val="28"/>
          <w:szCs w:val="28"/>
        </w:rPr>
        <w:t xml:space="preserve"> </w:t>
      </w:r>
      <w:r w:rsidRPr="005B5548">
        <w:rPr>
          <w:color w:val="000000" w:themeColor="text1"/>
          <w:sz w:val="28"/>
          <w:szCs w:val="28"/>
          <w:shd w:val="clear" w:color="auto" w:fill="FFFFFF"/>
        </w:rPr>
        <w:t>деятельности конкурсной комиссии по проведению конкурсного отбора общественных проектов развития территорий муниципальных образований в Самарской области для предоставления субсидий из областного бюджета местным бюджетам в целях софинансирования расходных обязательств муниципальных образований в Самарской области</w:t>
      </w:r>
      <w:r>
        <w:rPr>
          <w:color w:val="000000" w:themeColor="text1"/>
          <w:sz w:val="28"/>
          <w:szCs w:val="28"/>
          <w:shd w:val="clear" w:color="auto" w:fill="FFFFFF"/>
        </w:rPr>
        <w:t xml:space="preserve"> (далее – общественные проекты)</w:t>
      </w:r>
      <w:r w:rsidRPr="005B5548">
        <w:rPr>
          <w:color w:val="000000" w:themeColor="text1"/>
          <w:sz w:val="28"/>
          <w:szCs w:val="28"/>
          <w:shd w:val="clear" w:color="auto" w:fill="FFFFFF"/>
        </w:rPr>
        <w:t>, связанных с реализацией мероприятий по поддержке инициатив населения муниципальных образований в Самарской области.</w:t>
      </w:r>
    </w:p>
    <w:p w:rsidR="0076532F" w:rsidRPr="005B5548" w:rsidRDefault="0076532F" w:rsidP="0076532F">
      <w:pPr>
        <w:spacing w:line="360" w:lineRule="auto"/>
        <w:ind w:firstLine="709"/>
        <w:jc w:val="both"/>
        <w:rPr>
          <w:color w:val="000000" w:themeColor="text1"/>
          <w:sz w:val="28"/>
          <w:szCs w:val="28"/>
        </w:rPr>
      </w:pPr>
      <w:r>
        <w:rPr>
          <w:color w:val="000000" w:themeColor="text1"/>
          <w:sz w:val="28"/>
          <w:szCs w:val="28"/>
          <w:shd w:val="clear" w:color="auto" w:fill="FFFFFF"/>
        </w:rPr>
        <w:t>У</w:t>
      </w:r>
      <w:r w:rsidRPr="005B5548">
        <w:rPr>
          <w:color w:val="000000" w:themeColor="text1"/>
          <w:sz w:val="28"/>
          <w:szCs w:val="28"/>
          <w:shd w:val="clear" w:color="auto" w:fill="FFFFFF"/>
        </w:rPr>
        <w:t>читывая то, что статьей 26.1 не предусмотрена возможность установления каких-то конкретных сроков или периодичности представления инициативных проектов в местную администрацию (в отличие от представления общественных проектов), в</w:t>
      </w:r>
      <w:r w:rsidRPr="005B5548">
        <w:rPr>
          <w:color w:val="000000" w:themeColor="text1"/>
          <w:sz w:val="28"/>
          <w:szCs w:val="28"/>
        </w:rPr>
        <w:t xml:space="preserve"> целях оптимизации работы конкурсной комиссии население муниципального образования может быть проинформировано о приеме инициативных проектов в течение определенного периода времени. Однако такое информирование не может являться препятствием к обязательному рассмотрению в соответствии с Положением инициативных проектов, поступивших в местную администрацию вне указанного периода времени. Иное противоречило бы Федеральному закону № 236-ФЗ. </w:t>
      </w:r>
    </w:p>
    <w:p w:rsidR="0076532F" w:rsidRPr="005B5548" w:rsidRDefault="0076532F" w:rsidP="0076532F">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Положением предложены следующие </w:t>
      </w:r>
      <w:r>
        <w:rPr>
          <w:color w:val="000000" w:themeColor="text1"/>
          <w:sz w:val="28"/>
          <w:szCs w:val="28"/>
        </w:rPr>
        <w:t xml:space="preserve">измеримые </w:t>
      </w:r>
      <w:r w:rsidRPr="005B5548">
        <w:rPr>
          <w:color w:val="000000" w:themeColor="text1"/>
          <w:sz w:val="28"/>
          <w:szCs w:val="28"/>
        </w:rPr>
        <w:t>критерии конкурсного отбора инициативных проектов:</w:t>
      </w:r>
    </w:p>
    <w:tbl>
      <w:tblPr>
        <w:tblStyle w:val="a6"/>
        <w:tblW w:w="9351" w:type="dxa"/>
        <w:tblLook w:val="04A0" w:firstRow="1" w:lastRow="0" w:firstColumn="1" w:lastColumn="0" w:noHBand="0" w:noVBand="1"/>
      </w:tblPr>
      <w:tblGrid>
        <w:gridCol w:w="2972"/>
        <w:gridCol w:w="2268"/>
        <w:gridCol w:w="4111"/>
      </w:tblGrid>
      <w:tr w:rsidR="0076532F" w:rsidRPr="005B5548" w:rsidTr="0089273D">
        <w:tc>
          <w:tcPr>
            <w:tcW w:w="2972" w:type="dxa"/>
          </w:tcPr>
          <w:p w:rsidR="0076532F" w:rsidRPr="005B5548" w:rsidRDefault="0076532F" w:rsidP="0089273D">
            <w:pPr>
              <w:pStyle w:val="s1"/>
              <w:spacing w:before="0" w:beforeAutospacing="0" w:after="0" w:afterAutospacing="0"/>
              <w:jc w:val="center"/>
              <w:rPr>
                <w:color w:val="000000" w:themeColor="text1"/>
              </w:rPr>
            </w:pPr>
            <w:r w:rsidRPr="005B5548">
              <w:rPr>
                <w:color w:val="000000" w:themeColor="text1"/>
              </w:rPr>
              <w:t>Название критерия</w:t>
            </w:r>
          </w:p>
        </w:tc>
        <w:tc>
          <w:tcPr>
            <w:tcW w:w="2268" w:type="dxa"/>
          </w:tcPr>
          <w:p w:rsidR="0076532F" w:rsidRPr="005B5548" w:rsidRDefault="0076532F" w:rsidP="0089273D">
            <w:pPr>
              <w:pStyle w:val="s1"/>
              <w:spacing w:before="0" w:beforeAutospacing="0" w:after="0" w:afterAutospacing="0"/>
              <w:jc w:val="center"/>
              <w:rPr>
                <w:color w:val="000000" w:themeColor="text1"/>
              </w:rPr>
            </w:pPr>
            <w:r w:rsidRPr="005B5548">
              <w:rPr>
                <w:color w:val="000000" w:themeColor="text1"/>
              </w:rPr>
              <w:t>Максимальный балл для оценки</w:t>
            </w:r>
          </w:p>
        </w:tc>
        <w:tc>
          <w:tcPr>
            <w:tcW w:w="4111" w:type="dxa"/>
          </w:tcPr>
          <w:p w:rsidR="0076532F" w:rsidRPr="005B5548" w:rsidRDefault="0076532F" w:rsidP="0089273D">
            <w:pPr>
              <w:pStyle w:val="s1"/>
              <w:spacing w:before="0" w:beforeAutospacing="0" w:after="0" w:afterAutospacing="0"/>
              <w:jc w:val="center"/>
              <w:rPr>
                <w:color w:val="000000" w:themeColor="text1"/>
              </w:rPr>
            </w:pPr>
            <w:r w:rsidRPr="005B5548">
              <w:rPr>
                <w:color w:val="000000" w:themeColor="text1"/>
              </w:rPr>
              <w:t>Пояснения</w:t>
            </w:r>
          </w:p>
        </w:tc>
      </w:tr>
      <w:tr w:rsidR="0076532F" w:rsidRPr="005B5548" w:rsidTr="0089273D">
        <w:tc>
          <w:tcPr>
            <w:tcW w:w="2972" w:type="dxa"/>
          </w:tcPr>
          <w:p w:rsidR="0076532F" w:rsidRDefault="0076532F" w:rsidP="0089273D">
            <w:pPr>
              <w:pStyle w:val="s1"/>
              <w:spacing w:before="0" w:beforeAutospacing="0" w:after="0" w:afterAutospacing="0"/>
              <w:rPr>
                <w:color w:val="000000" w:themeColor="text1"/>
              </w:rPr>
            </w:pPr>
            <w:r w:rsidRPr="005B5548">
              <w:rPr>
                <w:color w:val="000000" w:themeColor="text1"/>
              </w:rPr>
              <w:t>Доля участия средств населения (физических и (или) юридических лиц) в финансировании реализации инициативного проекта</w:t>
            </w:r>
          </w:p>
          <w:p w:rsidR="0076532F" w:rsidRPr="005B5548" w:rsidRDefault="0076532F" w:rsidP="0089273D">
            <w:pPr>
              <w:pStyle w:val="s1"/>
              <w:spacing w:before="0" w:beforeAutospacing="0" w:after="0" w:afterAutospacing="0"/>
              <w:rPr>
                <w:color w:val="000000" w:themeColor="text1"/>
              </w:rPr>
            </w:pPr>
          </w:p>
        </w:tc>
        <w:tc>
          <w:tcPr>
            <w:tcW w:w="2268" w:type="dxa"/>
            <w:vAlign w:val="center"/>
          </w:tcPr>
          <w:p w:rsidR="0076532F" w:rsidRPr="005B5548" w:rsidRDefault="0076532F" w:rsidP="0089273D">
            <w:pPr>
              <w:pStyle w:val="s1"/>
              <w:spacing w:before="0" w:beforeAutospacing="0" w:after="0" w:afterAutospacing="0"/>
              <w:jc w:val="center"/>
              <w:rPr>
                <w:color w:val="000000" w:themeColor="text1"/>
              </w:rPr>
            </w:pPr>
            <w:r w:rsidRPr="005B5548">
              <w:rPr>
                <w:color w:val="000000" w:themeColor="text1"/>
              </w:rPr>
              <w:t>40</w:t>
            </w:r>
          </w:p>
        </w:tc>
        <w:tc>
          <w:tcPr>
            <w:tcW w:w="4111" w:type="dxa"/>
          </w:tcPr>
          <w:p w:rsidR="0076532F" w:rsidRPr="005B5548" w:rsidRDefault="0076532F" w:rsidP="0089273D">
            <w:pPr>
              <w:pStyle w:val="s1"/>
              <w:spacing w:before="0" w:beforeAutospacing="0" w:after="0" w:afterAutospacing="0"/>
              <w:rPr>
                <w:color w:val="000000" w:themeColor="text1"/>
              </w:rPr>
            </w:pPr>
            <w:r w:rsidRPr="005B5548">
              <w:rPr>
                <w:color w:val="000000" w:themeColor="text1"/>
              </w:rPr>
              <w:t xml:space="preserve">Расчет балла осуществляется пропорционально доле участия средств населения до предлагаемого Положением предела в </w:t>
            </w:r>
          </w:p>
          <w:p w:rsidR="0076532F" w:rsidRPr="005B5548" w:rsidRDefault="0076532F" w:rsidP="0089273D">
            <w:pPr>
              <w:pStyle w:val="s1"/>
              <w:spacing w:before="0" w:beforeAutospacing="0" w:after="0" w:afterAutospacing="0"/>
              <w:rPr>
                <w:color w:val="000000" w:themeColor="text1"/>
              </w:rPr>
            </w:pPr>
            <w:r w:rsidRPr="005B5548">
              <w:rPr>
                <w:color w:val="000000" w:themeColor="text1"/>
              </w:rPr>
              <w:t>20 %</w:t>
            </w:r>
            <w:r>
              <w:rPr>
                <w:color w:val="000000" w:themeColor="text1"/>
              </w:rPr>
              <w:t xml:space="preserve"> от общей стоимости реализации инициативного проекта</w:t>
            </w:r>
          </w:p>
          <w:p w:rsidR="0076532F" w:rsidRPr="005B5548" w:rsidRDefault="0076532F" w:rsidP="0089273D">
            <w:pPr>
              <w:pStyle w:val="s1"/>
              <w:spacing w:before="0" w:beforeAutospacing="0" w:after="0" w:afterAutospacing="0"/>
              <w:rPr>
                <w:color w:val="000000" w:themeColor="text1"/>
              </w:rPr>
            </w:pPr>
          </w:p>
        </w:tc>
      </w:tr>
      <w:tr w:rsidR="0076532F" w:rsidRPr="005B5548" w:rsidTr="0089273D">
        <w:tc>
          <w:tcPr>
            <w:tcW w:w="2972" w:type="dxa"/>
          </w:tcPr>
          <w:p w:rsidR="0076532F" w:rsidRPr="005B5548" w:rsidRDefault="0076532F" w:rsidP="0089273D">
            <w:pPr>
              <w:pStyle w:val="s1"/>
              <w:spacing w:before="0" w:beforeAutospacing="0" w:after="0" w:afterAutospacing="0"/>
              <w:rPr>
                <w:color w:val="000000" w:themeColor="text1"/>
              </w:rPr>
            </w:pPr>
            <w:r w:rsidRPr="005B5548">
              <w:rPr>
                <w:color w:val="000000" w:themeColor="text1"/>
              </w:rPr>
              <w:t xml:space="preserve">Планируемое имущественное и (или) трудовое участие заинтересованных лиц в </w:t>
            </w:r>
            <w:r w:rsidRPr="005B5548">
              <w:rPr>
                <w:color w:val="000000" w:themeColor="text1"/>
              </w:rPr>
              <w:lastRenderedPageBreak/>
              <w:t>реализации инициативного проекта</w:t>
            </w:r>
          </w:p>
        </w:tc>
        <w:tc>
          <w:tcPr>
            <w:tcW w:w="2268" w:type="dxa"/>
            <w:vAlign w:val="center"/>
          </w:tcPr>
          <w:p w:rsidR="0076532F" w:rsidRPr="005B5548" w:rsidRDefault="0076532F" w:rsidP="0089273D">
            <w:pPr>
              <w:pStyle w:val="s1"/>
              <w:spacing w:before="0" w:beforeAutospacing="0" w:after="0" w:afterAutospacing="0"/>
              <w:jc w:val="center"/>
              <w:rPr>
                <w:color w:val="000000" w:themeColor="text1"/>
              </w:rPr>
            </w:pPr>
            <w:r w:rsidRPr="005B5548">
              <w:rPr>
                <w:color w:val="000000" w:themeColor="text1"/>
              </w:rPr>
              <w:lastRenderedPageBreak/>
              <w:t>40</w:t>
            </w:r>
          </w:p>
        </w:tc>
        <w:tc>
          <w:tcPr>
            <w:tcW w:w="4111" w:type="dxa"/>
          </w:tcPr>
          <w:p w:rsidR="0076532F" w:rsidRPr="005B5548" w:rsidRDefault="0076532F" w:rsidP="0089273D">
            <w:pPr>
              <w:pStyle w:val="s1"/>
              <w:spacing w:before="0" w:beforeAutospacing="0" w:after="0" w:afterAutospacing="0"/>
              <w:rPr>
                <w:color w:val="000000" w:themeColor="text1"/>
              </w:rPr>
            </w:pPr>
            <w:r w:rsidRPr="005B5548">
              <w:rPr>
                <w:color w:val="000000" w:themeColor="text1"/>
              </w:rPr>
              <w:t>Максимальный балл в части имущественного участия заинтересованных лиц в реализации инициативного проекта составляет 20 баллов;</w:t>
            </w:r>
          </w:p>
          <w:p w:rsidR="0076532F" w:rsidRPr="005B5548" w:rsidRDefault="0076532F" w:rsidP="0089273D">
            <w:pPr>
              <w:pStyle w:val="s1"/>
              <w:spacing w:before="0" w:beforeAutospacing="0" w:after="0" w:afterAutospacing="0"/>
              <w:rPr>
                <w:color w:val="000000" w:themeColor="text1"/>
              </w:rPr>
            </w:pPr>
            <w:r w:rsidRPr="005B5548">
              <w:rPr>
                <w:color w:val="000000" w:themeColor="text1"/>
              </w:rPr>
              <w:lastRenderedPageBreak/>
              <w:t>максимальный балл в части трудового участия заинтересованных лиц в реализации инициативного проекта составляет также 20 баллов</w:t>
            </w:r>
            <w:r>
              <w:rPr>
                <w:color w:val="000000" w:themeColor="text1"/>
              </w:rPr>
              <w:t>.</w:t>
            </w:r>
          </w:p>
          <w:p w:rsidR="0076532F" w:rsidRDefault="0076532F" w:rsidP="0089273D">
            <w:pPr>
              <w:pStyle w:val="s1"/>
              <w:spacing w:before="0" w:beforeAutospacing="0" w:after="0" w:afterAutospacing="0"/>
              <w:rPr>
                <w:color w:val="000000" w:themeColor="text1"/>
              </w:rPr>
            </w:pPr>
            <w:r>
              <w:rPr>
                <w:color w:val="000000" w:themeColor="text1"/>
              </w:rPr>
              <w:t>Общий балл по этим двум подкритериям суммируется</w:t>
            </w:r>
          </w:p>
          <w:p w:rsidR="0076532F" w:rsidRPr="005B5548" w:rsidRDefault="0076532F" w:rsidP="0089273D">
            <w:pPr>
              <w:pStyle w:val="s1"/>
              <w:spacing w:before="0" w:beforeAutospacing="0" w:after="0" w:afterAutospacing="0"/>
              <w:rPr>
                <w:color w:val="000000" w:themeColor="text1"/>
              </w:rPr>
            </w:pPr>
          </w:p>
        </w:tc>
      </w:tr>
      <w:tr w:rsidR="0076532F" w:rsidRPr="005B5548" w:rsidTr="0089273D">
        <w:tc>
          <w:tcPr>
            <w:tcW w:w="2972" w:type="dxa"/>
          </w:tcPr>
          <w:p w:rsidR="0076532F" w:rsidRPr="005B5548" w:rsidRDefault="0076532F" w:rsidP="0089273D">
            <w:pPr>
              <w:pStyle w:val="s1"/>
              <w:spacing w:before="0" w:beforeAutospacing="0" w:after="0" w:afterAutospacing="0"/>
              <w:rPr>
                <w:color w:val="000000" w:themeColor="text1"/>
              </w:rPr>
            </w:pPr>
            <w:r w:rsidRPr="005B5548">
              <w:rPr>
                <w:color w:val="000000" w:themeColor="text1"/>
              </w:rPr>
              <w:lastRenderedPageBreak/>
              <w:t>Масштаб территории инициативного проекта с учетом количества потенциальных благополучателей от его реализации</w:t>
            </w:r>
          </w:p>
        </w:tc>
        <w:tc>
          <w:tcPr>
            <w:tcW w:w="2268" w:type="dxa"/>
            <w:vAlign w:val="center"/>
          </w:tcPr>
          <w:p w:rsidR="0076532F" w:rsidRPr="005B5548" w:rsidRDefault="0076532F" w:rsidP="0089273D">
            <w:pPr>
              <w:pStyle w:val="s1"/>
              <w:spacing w:before="0" w:beforeAutospacing="0" w:after="0" w:afterAutospacing="0"/>
              <w:jc w:val="center"/>
              <w:rPr>
                <w:color w:val="000000" w:themeColor="text1"/>
              </w:rPr>
            </w:pPr>
            <w:r w:rsidRPr="005B5548">
              <w:rPr>
                <w:color w:val="000000" w:themeColor="text1"/>
              </w:rPr>
              <w:t>20</w:t>
            </w:r>
          </w:p>
        </w:tc>
        <w:tc>
          <w:tcPr>
            <w:tcW w:w="4111" w:type="dxa"/>
          </w:tcPr>
          <w:p w:rsidR="0076532F" w:rsidRDefault="0076532F" w:rsidP="0089273D">
            <w:pPr>
              <w:pStyle w:val="s1"/>
              <w:spacing w:before="0" w:beforeAutospacing="0" w:after="0" w:afterAutospacing="0"/>
              <w:rPr>
                <w:color w:val="000000" w:themeColor="text1"/>
              </w:rPr>
            </w:pPr>
            <w:r>
              <w:rPr>
                <w:color w:val="000000" w:themeColor="text1"/>
              </w:rPr>
              <w:t xml:space="preserve">Если инициативный проект реализуется исключительно на дворовой территории многоквартирных домов, максимальный балл составляет 10 и зависит от наличия других инициативных проектов, реализуемых на дворовых территориях; </w:t>
            </w:r>
          </w:p>
          <w:p w:rsidR="0076532F" w:rsidRDefault="0076532F" w:rsidP="0089273D">
            <w:pPr>
              <w:pStyle w:val="s1"/>
              <w:spacing w:before="0" w:beforeAutospacing="0" w:after="0" w:afterAutospacing="0"/>
              <w:rPr>
                <w:color w:val="000000" w:themeColor="text1"/>
              </w:rPr>
            </w:pPr>
            <w:r>
              <w:rPr>
                <w:color w:val="000000" w:themeColor="text1"/>
              </w:rPr>
              <w:t>при реализации инициативных проектов вне дворовых территорий таким инициативным проектам присваивается по 20 баллов</w:t>
            </w:r>
          </w:p>
          <w:p w:rsidR="0076532F" w:rsidRPr="005B5548" w:rsidRDefault="0076532F" w:rsidP="0089273D">
            <w:pPr>
              <w:pStyle w:val="s1"/>
              <w:spacing w:before="0" w:beforeAutospacing="0" w:after="0" w:afterAutospacing="0"/>
              <w:jc w:val="both"/>
              <w:rPr>
                <w:color w:val="000000" w:themeColor="text1"/>
              </w:rPr>
            </w:pPr>
          </w:p>
        </w:tc>
      </w:tr>
      <w:tr w:rsidR="0076532F" w:rsidRPr="005B5548" w:rsidTr="0089273D">
        <w:tc>
          <w:tcPr>
            <w:tcW w:w="2972" w:type="dxa"/>
          </w:tcPr>
          <w:p w:rsidR="0076532F" w:rsidRPr="005B5548" w:rsidRDefault="0076532F" w:rsidP="0089273D">
            <w:pPr>
              <w:pStyle w:val="s1"/>
              <w:spacing w:before="0" w:beforeAutospacing="0" w:after="0" w:afterAutospacing="0"/>
              <w:rPr>
                <w:color w:val="000000" w:themeColor="text1"/>
              </w:rPr>
            </w:pPr>
            <w:r w:rsidRPr="005B5548">
              <w:rPr>
                <w:color w:val="000000" w:themeColor="text1"/>
              </w:rPr>
              <w:t>Доля потенциальных благополучателей, поддержавших реализацию инициативного проекта</w:t>
            </w:r>
          </w:p>
        </w:tc>
        <w:tc>
          <w:tcPr>
            <w:tcW w:w="2268" w:type="dxa"/>
            <w:vAlign w:val="center"/>
          </w:tcPr>
          <w:p w:rsidR="0076532F" w:rsidRPr="005B5548" w:rsidRDefault="0076532F" w:rsidP="0089273D">
            <w:pPr>
              <w:pStyle w:val="s1"/>
              <w:spacing w:before="0" w:beforeAutospacing="0" w:after="0" w:afterAutospacing="0"/>
              <w:jc w:val="center"/>
              <w:rPr>
                <w:color w:val="000000" w:themeColor="text1"/>
              </w:rPr>
            </w:pPr>
            <w:r w:rsidRPr="005B5548">
              <w:rPr>
                <w:color w:val="000000" w:themeColor="text1"/>
              </w:rPr>
              <w:t>10</w:t>
            </w:r>
          </w:p>
        </w:tc>
        <w:tc>
          <w:tcPr>
            <w:tcW w:w="4111" w:type="dxa"/>
          </w:tcPr>
          <w:p w:rsidR="0076532F" w:rsidRPr="005B5548" w:rsidRDefault="0076532F" w:rsidP="0089273D">
            <w:pPr>
              <w:pStyle w:val="s1"/>
              <w:spacing w:before="0" w:beforeAutospacing="0" w:after="0" w:afterAutospacing="0"/>
              <w:rPr>
                <w:color w:val="000000" w:themeColor="text1"/>
              </w:rPr>
            </w:pPr>
            <w:r w:rsidRPr="005B5548">
              <w:rPr>
                <w:color w:val="000000" w:themeColor="text1"/>
              </w:rPr>
              <w:t>Данный критерий применяется исключительно в целях оценки инициативных проектов, реализуемых на дворовых территориях многоквартирных домов</w:t>
            </w:r>
            <w:r>
              <w:rPr>
                <w:color w:val="000000" w:themeColor="text1"/>
              </w:rPr>
              <w:t>, и зависит от количества потенциальных благополучателей, поддержавших инициативный проект</w:t>
            </w:r>
          </w:p>
        </w:tc>
      </w:tr>
    </w:tbl>
    <w:p w:rsidR="0076532F" w:rsidRPr="005B5548" w:rsidRDefault="0076532F" w:rsidP="0076532F">
      <w:pPr>
        <w:pStyle w:val="s1"/>
        <w:shd w:val="clear" w:color="auto" w:fill="FFFFFF"/>
        <w:spacing w:before="0" w:beforeAutospacing="0" w:after="0" w:afterAutospacing="0" w:line="360" w:lineRule="auto"/>
        <w:ind w:firstLine="709"/>
        <w:jc w:val="both"/>
        <w:rPr>
          <w:color w:val="000000" w:themeColor="text1"/>
          <w:sz w:val="28"/>
          <w:szCs w:val="28"/>
        </w:rPr>
      </w:pPr>
    </w:p>
    <w:p w:rsidR="0076532F" w:rsidRPr="005B5548" w:rsidRDefault="0076532F" w:rsidP="0076532F">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Числовые значения баллов предложены Положением таким образом, чтобы общая сумма максимальных значений баллов по каждому из критериев не превышала 100.  </w:t>
      </w:r>
    </w:p>
    <w:p w:rsidR="0076532F" w:rsidRPr="005B5548" w:rsidRDefault="0076532F" w:rsidP="0076532F">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В случае если два или более инициативных проекта набрали равное количество баллов, но при этом средства бюджета муниципального образования могут быть предоставлены лишь на реализацию одного инициативного проекта, средства бюджета муниципального образования предоставляются на реализацию того инициативного проекта, который получил наибольшую поддержку со стороны граждан, достигших шестнадцатилетнего возраста и проживающих на соответствующей территории муниципального образования, в соответствии с пунктами 2.3 – 2.6 Положения. В случае равного количества поддержавших инициативный </w:t>
      </w:r>
      <w:r w:rsidRPr="005B5548">
        <w:rPr>
          <w:color w:val="000000" w:themeColor="text1"/>
          <w:sz w:val="28"/>
          <w:szCs w:val="28"/>
        </w:rPr>
        <w:lastRenderedPageBreak/>
        <w:t>проект указанных граждан средства бюджета муниципальн</w:t>
      </w:r>
      <w:bookmarkStart w:id="0" w:name="_GoBack"/>
      <w:bookmarkEnd w:id="0"/>
      <w:r w:rsidRPr="005B5548">
        <w:rPr>
          <w:color w:val="000000" w:themeColor="text1"/>
          <w:sz w:val="28"/>
          <w:szCs w:val="28"/>
        </w:rPr>
        <w:t xml:space="preserve">ого образования предоставляются на реализацию того инициативного проекта, который был представлен в </w:t>
      </w:r>
      <w:r>
        <w:rPr>
          <w:color w:val="000000" w:themeColor="text1"/>
          <w:sz w:val="28"/>
          <w:szCs w:val="28"/>
        </w:rPr>
        <w:t xml:space="preserve">местную </w:t>
      </w:r>
      <w:r w:rsidRPr="005B5548">
        <w:rPr>
          <w:color w:val="000000" w:themeColor="text1"/>
          <w:sz w:val="28"/>
          <w:szCs w:val="28"/>
        </w:rPr>
        <w:t>администрацию раньше.</w:t>
      </w:r>
    </w:p>
    <w:p w:rsidR="0076532F" w:rsidRPr="005B5548" w:rsidRDefault="0076532F" w:rsidP="0076532F">
      <w:pPr>
        <w:rPr>
          <w:color w:val="000000" w:themeColor="text1"/>
          <w:sz w:val="28"/>
          <w:szCs w:val="28"/>
        </w:rPr>
      </w:pPr>
    </w:p>
    <w:p w:rsidR="00230964" w:rsidRDefault="00230964"/>
    <w:sectPr w:rsidR="00230964" w:rsidSect="008971D6">
      <w:headerReference w:type="even" r:id="rId6"/>
      <w:headerReference w:type="default" r:id="rId7"/>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91D" w:rsidRDefault="003B391D" w:rsidP="0076532F">
      <w:r>
        <w:separator/>
      </w:r>
    </w:p>
  </w:endnote>
  <w:endnote w:type="continuationSeparator" w:id="0">
    <w:p w:rsidR="003B391D" w:rsidRDefault="003B391D" w:rsidP="0076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91D" w:rsidRDefault="003B391D" w:rsidP="0076532F">
      <w:r>
        <w:separator/>
      </w:r>
    </w:p>
  </w:footnote>
  <w:footnote w:type="continuationSeparator" w:id="0">
    <w:p w:rsidR="003B391D" w:rsidRDefault="003B391D" w:rsidP="0076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1389844102"/>
      <w:docPartObj>
        <w:docPartGallery w:val="Page Numbers (Top of Page)"/>
        <w:docPartUnique/>
      </w:docPartObj>
    </w:sdtPr>
    <w:sdtEndPr>
      <w:rPr>
        <w:rStyle w:val="a5"/>
      </w:rPr>
    </w:sdtEndPr>
    <w:sdtContent>
      <w:p w:rsidR="00531B00" w:rsidRDefault="003B391D" w:rsidP="00C40200">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531B00" w:rsidRDefault="003B39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1317491571"/>
      <w:docPartObj>
        <w:docPartGallery w:val="Page Numbers (Top of Page)"/>
        <w:docPartUnique/>
      </w:docPartObj>
    </w:sdtPr>
    <w:sdtEndPr>
      <w:rPr>
        <w:rStyle w:val="a5"/>
        <w:rFonts w:ascii="Times New Roman" w:hAnsi="Times New Roman" w:cs="Times New Roman"/>
      </w:rPr>
    </w:sdtEndPr>
    <w:sdtContent>
      <w:p w:rsidR="00531B00" w:rsidRPr="0076532F" w:rsidRDefault="003B391D" w:rsidP="00C40200">
        <w:pPr>
          <w:pStyle w:val="a3"/>
          <w:framePr w:wrap="none" w:vAnchor="text" w:hAnchor="margin" w:xAlign="center" w:y="1"/>
          <w:rPr>
            <w:rStyle w:val="a5"/>
            <w:rFonts w:ascii="Times New Roman" w:hAnsi="Times New Roman" w:cs="Times New Roman"/>
          </w:rPr>
        </w:pPr>
        <w:r w:rsidRPr="0076532F">
          <w:rPr>
            <w:rStyle w:val="a5"/>
            <w:rFonts w:ascii="Times New Roman" w:hAnsi="Times New Roman" w:cs="Times New Roman"/>
          </w:rPr>
          <w:fldChar w:fldCharType="begin"/>
        </w:r>
        <w:r w:rsidRPr="0076532F">
          <w:rPr>
            <w:rStyle w:val="a5"/>
            <w:rFonts w:ascii="Times New Roman" w:hAnsi="Times New Roman" w:cs="Times New Roman"/>
          </w:rPr>
          <w:instrText xml:space="preserve"> PAGE </w:instrText>
        </w:r>
        <w:r w:rsidRPr="0076532F">
          <w:rPr>
            <w:rStyle w:val="a5"/>
            <w:rFonts w:ascii="Times New Roman" w:hAnsi="Times New Roman" w:cs="Times New Roman"/>
          </w:rPr>
          <w:fldChar w:fldCharType="separate"/>
        </w:r>
        <w:r w:rsidR="0076532F">
          <w:rPr>
            <w:rStyle w:val="a5"/>
            <w:rFonts w:ascii="Times New Roman" w:hAnsi="Times New Roman" w:cs="Times New Roman"/>
            <w:noProof/>
          </w:rPr>
          <w:t>2</w:t>
        </w:r>
        <w:r w:rsidRPr="0076532F">
          <w:rPr>
            <w:rStyle w:val="a5"/>
            <w:rFonts w:ascii="Times New Roman" w:hAnsi="Times New Roman" w:cs="Times New Roman"/>
          </w:rPr>
          <w:fldChar w:fldCharType="end"/>
        </w:r>
      </w:p>
    </w:sdtContent>
  </w:sdt>
  <w:p w:rsidR="00531B00" w:rsidRDefault="003B39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2F"/>
    <w:rsid w:val="00230964"/>
    <w:rsid w:val="003B391D"/>
    <w:rsid w:val="00765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77E09-E3A6-4D54-9FEF-C728DC83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3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32F"/>
    <w:pPr>
      <w:tabs>
        <w:tab w:val="center" w:pos="4677"/>
        <w:tab w:val="right" w:pos="9355"/>
      </w:tabs>
    </w:pPr>
    <w:rPr>
      <w:rFonts w:asciiTheme="minorHAnsi" w:eastAsiaTheme="minorEastAsia" w:hAnsiTheme="minorHAnsi" w:cstheme="minorBidi"/>
      <w:sz w:val="22"/>
      <w:szCs w:val="22"/>
    </w:rPr>
  </w:style>
  <w:style w:type="character" w:customStyle="1" w:styleId="a4">
    <w:name w:val="Верхний колонтитул Знак"/>
    <w:basedOn w:val="a0"/>
    <w:link w:val="a3"/>
    <w:uiPriority w:val="99"/>
    <w:rsid w:val="0076532F"/>
    <w:rPr>
      <w:rFonts w:eastAsiaTheme="minorEastAsia"/>
      <w:lang w:eastAsia="ru-RU"/>
    </w:rPr>
  </w:style>
  <w:style w:type="character" w:styleId="a5">
    <w:name w:val="page number"/>
    <w:basedOn w:val="a0"/>
    <w:uiPriority w:val="99"/>
    <w:semiHidden/>
    <w:unhideWhenUsed/>
    <w:rsid w:val="0076532F"/>
  </w:style>
  <w:style w:type="paragraph" w:customStyle="1" w:styleId="s1">
    <w:name w:val="s_1"/>
    <w:basedOn w:val="a"/>
    <w:rsid w:val="0076532F"/>
    <w:pPr>
      <w:spacing w:before="100" w:beforeAutospacing="1" w:after="100" w:afterAutospacing="1"/>
    </w:pPr>
  </w:style>
  <w:style w:type="table" w:styleId="a6">
    <w:name w:val="Table Grid"/>
    <w:basedOn w:val="a1"/>
    <w:uiPriority w:val="39"/>
    <w:rsid w:val="0076532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76532F"/>
    <w:pPr>
      <w:tabs>
        <w:tab w:val="center" w:pos="4677"/>
        <w:tab w:val="right" w:pos="9355"/>
      </w:tabs>
    </w:pPr>
  </w:style>
  <w:style w:type="character" w:customStyle="1" w:styleId="a8">
    <w:name w:val="Нижний колонтитул Знак"/>
    <w:basedOn w:val="a0"/>
    <w:link w:val="a7"/>
    <w:uiPriority w:val="99"/>
    <w:rsid w:val="0076532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9643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Кужанбаева Анна Геннадьевна</dc:creator>
  <cp:keywords/>
  <dc:description/>
  <cp:lastModifiedBy>Кужанбаева Анна Геннадьевна</cp:lastModifiedBy>
  <cp:revision>1</cp:revision>
  <dcterms:created xsi:type="dcterms:W3CDTF">2020-09-25T11:34:00Z</dcterms:created>
  <dcterms:modified xsi:type="dcterms:W3CDTF">2020-09-25T11:34:00Z</dcterms:modified>
</cp:coreProperties>
</file>